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12" w:rsidRDefault="00F2042F">
      <w:pPr>
        <w:adjustRightInd w:val="0"/>
        <w:snapToGrid w:val="0"/>
        <w:spacing w:line="520" w:lineRule="exact"/>
        <w:jc w:val="center"/>
        <w:rPr>
          <w:rFonts w:ascii="宋体" w:eastAsia="宋体" w:hAnsi="宋体" w:cs="Times New Roman"/>
          <w:b/>
          <w:sz w:val="36"/>
          <w:szCs w:val="36"/>
        </w:rPr>
      </w:pPr>
      <w:r>
        <w:rPr>
          <w:rFonts w:ascii="宋体" w:eastAsia="宋体" w:hAnsi="宋体" w:cs="Times New Roman" w:hint="eastAsia"/>
          <w:b/>
          <w:sz w:val="36"/>
          <w:szCs w:val="36"/>
        </w:rPr>
        <w:t>青岛海事法院</w:t>
      </w:r>
    </w:p>
    <w:p w:rsidR="00945E12" w:rsidRDefault="00F2042F">
      <w:pPr>
        <w:adjustRightInd w:val="0"/>
        <w:snapToGrid w:val="0"/>
        <w:spacing w:line="520" w:lineRule="exact"/>
        <w:jc w:val="center"/>
        <w:rPr>
          <w:rFonts w:ascii="宋体" w:eastAsia="宋体" w:hAnsi="宋体" w:cs="Times New Roman"/>
          <w:b/>
          <w:sz w:val="36"/>
          <w:szCs w:val="36"/>
        </w:rPr>
      </w:pPr>
      <w:r>
        <w:rPr>
          <w:rFonts w:ascii="宋体" w:eastAsia="宋体" w:hAnsi="宋体" w:cs="Times New Roman" w:hint="eastAsia"/>
          <w:b/>
          <w:sz w:val="36"/>
          <w:szCs w:val="36"/>
        </w:rPr>
        <w:t>司法建议书</w:t>
      </w:r>
    </w:p>
    <w:p w:rsidR="00945E12" w:rsidRDefault="00F2042F">
      <w:pPr>
        <w:wordWrap w:val="0"/>
        <w:adjustRightInd w:val="0"/>
        <w:snapToGrid w:val="0"/>
        <w:spacing w:line="520" w:lineRule="exact"/>
        <w:ind w:firstLineChars="200" w:firstLine="640"/>
        <w:jc w:val="right"/>
        <w:rPr>
          <w:rFonts w:ascii="仿宋_GB2312" w:eastAsia="仿宋_GB2312" w:hAnsi="方正小标宋简体" w:cs="Times New Roman"/>
          <w:sz w:val="32"/>
          <w:szCs w:val="32"/>
        </w:rPr>
      </w:pPr>
      <w:r>
        <w:rPr>
          <w:rFonts w:ascii="仿宋_GB2312" w:eastAsia="仿宋_GB2312" w:hAnsi="方正小标宋简体" w:cs="Times New Roman" w:hint="eastAsia"/>
          <w:sz w:val="32"/>
          <w:szCs w:val="32"/>
        </w:rPr>
        <w:t>（2</w:t>
      </w:r>
      <w:r>
        <w:rPr>
          <w:rFonts w:ascii="仿宋_GB2312" w:eastAsia="仿宋_GB2312" w:hAnsi="方正小标宋简体" w:cs="Times New Roman"/>
          <w:sz w:val="32"/>
          <w:szCs w:val="32"/>
        </w:rPr>
        <w:t>023</w:t>
      </w:r>
      <w:r>
        <w:rPr>
          <w:rFonts w:ascii="仿宋_GB2312" w:eastAsia="仿宋_GB2312" w:hAnsi="方正小标宋简体" w:cs="Times New Roman" w:hint="eastAsia"/>
          <w:sz w:val="32"/>
          <w:szCs w:val="32"/>
        </w:rPr>
        <w:t>）青海法建字第</w:t>
      </w:r>
      <w:bookmarkStart w:id="0" w:name="_GoBack"/>
      <w:bookmarkEnd w:id="0"/>
      <w:r w:rsidR="009F511A">
        <w:rPr>
          <w:rFonts w:ascii="仿宋_GB2312" w:eastAsia="仿宋_GB2312" w:hAnsi="方正小标宋简体" w:cs="Times New Roman" w:hint="eastAsia"/>
          <w:sz w:val="32"/>
          <w:szCs w:val="32"/>
        </w:rPr>
        <w:t>3</w:t>
      </w:r>
      <w:r>
        <w:rPr>
          <w:rFonts w:ascii="仿宋_GB2312" w:eastAsia="仿宋_GB2312" w:hAnsi="方正小标宋简体" w:cs="Times New Roman" w:hint="eastAsia"/>
          <w:sz w:val="32"/>
          <w:szCs w:val="32"/>
        </w:rPr>
        <w:t xml:space="preserve">号  </w:t>
      </w:r>
    </w:p>
    <w:p w:rsidR="00945E12" w:rsidRDefault="00945E12">
      <w:pPr>
        <w:adjustRightInd w:val="0"/>
        <w:snapToGrid w:val="0"/>
        <w:rPr>
          <w:rFonts w:ascii="仿宋_GB2312" w:eastAsia="仿宋_GB2312" w:hAnsi="方正小标宋简体" w:cs="Times New Roman"/>
          <w:sz w:val="32"/>
          <w:szCs w:val="32"/>
        </w:rPr>
      </w:pPr>
    </w:p>
    <w:p w:rsidR="00945E12" w:rsidRDefault="00F2042F">
      <w:pPr>
        <w:adjustRightInd w:val="0"/>
        <w:snapToGrid w:val="0"/>
        <w:rPr>
          <w:rFonts w:ascii="仿宋_GB2312" w:eastAsia="仿宋_GB2312" w:hAnsi="仿宋_GB2312" w:cs="仿宋_GB2312"/>
          <w:sz w:val="32"/>
          <w:szCs w:val="32"/>
        </w:rPr>
      </w:pPr>
      <w:r>
        <w:rPr>
          <w:rFonts w:ascii="仿宋_GB2312" w:eastAsia="仿宋_GB2312" w:hAnsi="方正小标宋简体" w:cs="Times New Roman" w:hint="eastAsia"/>
          <w:sz w:val="32"/>
          <w:szCs w:val="32"/>
        </w:rPr>
        <w:t>山东省人民政府：</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6月，习近平总书记在山东考察工作时强调：“海洋牧场是发展趋势，山东可以搞试点”。近年来，我省海洋牧场建设工作在省委、省政府统筹领导下取得显著成效，“国信一号”“深蓝一号”等海上养殖平台实现全国领先。但根据我院案件信息显示，我省部分已建成的海洋牧场平台存在被迫停运现象，严重阻滞海洋牧场试点工作开展。为全面维护我省海洋经济运行秩序，特向省政府反馈并提出建议。</w:t>
      </w:r>
    </w:p>
    <w:p w:rsidR="00945E12" w:rsidRDefault="00F2042F">
      <w:pPr>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3月，省委、省政府印发《海洋强省建设行动计划》，明确提出“高水平建设120处省级以上海洋牧场，到2025年新建15处国家级海洋牧场示范区”的目标任务。但在我院近期审理的海洋牧场平台建造合同纠纷案件中，当事人提交的证据显示，我省部分经审批建造完成的玻璃钢质海洋牧场平台，因规则体系不健全无法完成检验，以致被责令停止运营。案件折射出当前我省海洋牧场产业在检验与监管方面可能存在的潜藏性问题。为掌握我省海洋牧场平台建设基本情况，我院与省农业农村厅开展联合调研，调研数据显示：截至2023年6月，我省共有海洋牧场平台71座，其中</w:t>
      </w:r>
      <w:r>
        <w:rPr>
          <w:rFonts w:ascii="仿宋_GB2312" w:eastAsia="仿宋_GB2312" w:hAnsi="仿宋_GB2312" w:cs="仿宋_GB2312" w:hint="eastAsia"/>
          <w:sz w:val="32"/>
          <w:szCs w:val="32"/>
        </w:rPr>
        <w:lastRenderedPageBreak/>
        <w:t>未检验41座，经过船检部门或CCS检验30座；在41座未检验海洋牧场中，有19座处于停运状态，14座允许开展日常管护，仅有8座处于看护运营状态。因无法检验而被迫停运已成为我省海洋牧场产业发展的重大障碍。</w:t>
      </w:r>
    </w:p>
    <w:p w:rsidR="00945E12" w:rsidRDefault="00F2042F">
      <w:pPr>
        <w:ind w:firstLineChars="200" w:firstLine="640"/>
        <w:rPr>
          <w:rFonts w:ascii="黑体" w:eastAsia="黑体" w:hAnsi="黑体" w:cs="黑体"/>
          <w:sz w:val="32"/>
          <w:szCs w:val="32"/>
        </w:rPr>
      </w:pPr>
      <w:r>
        <w:rPr>
          <w:rFonts w:ascii="黑体" w:eastAsia="黑体" w:hAnsi="黑体" w:cs="黑体" w:hint="eastAsia"/>
          <w:sz w:val="32"/>
          <w:szCs w:val="32"/>
        </w:rPr>
        <w:t>二、原因分析</w:t>
      </w:r>
    </w:p>
    <w:p w:rsidR="00945E12" w:rsidRDefault="00F2042F">
      <w:pPr>
        <w:ind w:firstLineChars="200" w:firstLine="640"/>
        <w:rPr>
          <w:rFonts w:ascii="楷体" w:eastAsia="楷体" w:hAnsi="楷体" w:cs="楷体"/>
          <w:sz w:val="32"/>
          <w:szCs w:val="32"/>
        </w:rPr>
      </w:pPr>
      <w:r>
        <w:rPr>
          <w:rFonts w:ascii="楷体" w:eastAsia="楷体" w:hAnsi="楷体" w:cs="楷体" w:hint="eastAsia"/>
          <w:sz w:val="32"/>
          <w:szCs w:val="32"/>
        </w:rPr>
        <w:t>（一）海洋牧场平台检验标准相对滞后</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国家层面没有海洋牧场平台检验标准的情况下，省农业农村厅曾于2021年协调中国船级社青岛分社按照《海上渔业设施检验方案》对钢质海洋牧场平台进行检验。2023年5月中国海事局才公布《海上移动式平台技术规则》及《海上移动式平台检验规则》，两规则原则上仅适用于新建钢质海上移动式平台。玻璃钢质、PE材质海洋牧场平台检验规范及标准始终未能出台。</w:t>
      </w:r>
    </w:p>
    <w:p w:rsidR="00945E12" w:rsidRDefault="00F2042F">
      <w:pPr>
        <w:ind w:firstLineChars="200" w:firstLine="640"/>
        <w:rPr>
          <w:rFonts w:ascii="楷体" w:eastAsia="楷体" w:hAnsi="楷体" w:cs="楷体"/>
          <w:sz w:val="32"/>
          <w:szCs w:val="32"/>
        </w:rPr>
      </w:pPr>
      <w:r>
        <w:rPr>
          <w:rFonts w:ascii="楷体" w:eastAsia="楷体" w:hAnsi="楷体" w:cs="楷体" w:hint="eastAsia"/>
          <w:sz w:val="32"/>
          <w:szCs w:val="32"/>
        </w:rPr>
        <w:t>（二）海洋牧场平台管理机制相对模糊</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洋牧场平台的监督管理标准长期缺乏明确规定，2023年农业农村部、国家发展改革委、交通运输部等8部委联合发布的《关于加快推进深远海养殖发展的意见》中，仅规定“重力式网箱、桁架类网箱及养殖平台建造要符合相关规范和标准的技术要求,由地方人民政府指定的主管部门制定规则进行登记。”对于“海洋牧场平台如何检验”“无法检验的海洋牧场能否运营”等关键性问题仍未做出明确安排，导致当前海洋牧场平台处于“既不能检、也不敢用”的尴尬处境。</w:t>
      </w:r>
    </w:p>
    <w:p w:rsidR="00945E12" w:rsidRDefault="00F2042F">
      <w:pPr>
        <w:ind w:firstLineChars="200" w:firstLine="640"/>
        <w:rPr>
          <w:rFonts w:ascii="楷体" w:eastAsia="楷体" w:hAnsi="楷体" w:cs="楷体"/>
          <w:sz w:val="32"/>
          <w:szCs w:val="32"/>
        </w:rPr>
      </w:pPr>
      <w:r>
        <w:rPr>
          <w:rFonts w:ascii="楷体" w:eastAsia="楷体" w:hAnsi="楷体" w:cs="楷体" w:hint="eastAsia"/>
          <w:sz w:val="32"/>
          <w:szCs w:val="32"/>
        </w:rPr>
        <w:lastRenderedPageBreak/>
        <w:t>（三）海洋牧场平台监管措施相对保守</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海洋牧场平台监管制度模糊，导致各地在落实监管责任时倾向于从严掌握，严禁未经检验的海洋牧场投入运营。《烟台市海洋牧场管理条例》《威海市海洋牧场管理条例》中均明确规定：“未取得检验合格证书或者文书的海洋牧场平台不得投入运营”。</w:t>
      </w:r>
    </w:p>
    <w:p w:rsidR="00945E12" w:rsidRDefault="00F2042F">
      <w:pPr>
        <w:ind w:firstLineChars="200" w:firstLine="640"/>
        <w:rPr>
          <w:rFonts w:ascii="黑体" w:eastAsia="黑体" w:hAnsi="黑体" w:cs="黑体"/>
          <w:sz w:val="32"/>
          <w:szCs w:val="32"/>
        </w:rPr>
      </w:pPr>
      <w:r>
        <w:rPr>
          <w:rFonts w:ascii="黑体" w:eastAsia="黑体" w:hAnsi="黑体" w:cs="黑体" w:hint="eastAsia"/>
          <w:sz w:val="32"/>
          <w:szCs w:val="32"/>
        </w:rPr>
        <w:t>三、意见建议</w:t>
      </w:r>
    </w:p>
    <w:p w:rsidR="00945E12" w:rsidRDefault="00F2042F">
      <w:pPr>
        <w:ind w:firstLineChars="200" w:firstLine="640"/>
        <w:rPr>
          <w:rFonts w:ascii="楷体" w:eastAsia="楷体" w:hAnsi="楷体" w:cs="楷体"/>
          <w:sz w:val="32"/>
          <w:szCs w:val="32"/>
        </w:rPr>
      </w:pPr>
      <w:r>
        <w:rPr>
          <w:rFonts w:ascii="楷体" w:eastAsia="楷体" w:hAnsi="楷体" w:cs="楷体" w:hint="eastAsia"/>
          <w:sz w:val="32"/>
          <w:szCs w:val="32"/>
        </w:rPr>
        <w:t>（一）运用已生效海洋牧场司法规则，强化法治环境</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省政府充分发挥海事法院的法治保障作用，将青岛海事法院在“深蓝一号”案等海洋牧场建造纠纷案中确定的裁判规则和技术标准予以推广，强化海洋牧场产业领域规则支撑，积极构建市场化、法治化、国际化一流营商环境。</w:t>
      </w:r>
    </w:p>
    <w:p w:rsidR="00945E12" w:rsidRDefault="00F2042F">
      <w:pPr>
        <w:ind w:firstLineChars="200" w:firstLine="640"/>
        <w:rPr>
          <w:rFonts w:ascii="楷体" w:eastAsia="楷体" w:hAnsi="楷体" w:cs="楷体"/>
          <w:sz w:val="32"/>
          <w:szCs w:val="32"/>
        </w:rPr>
      </w:pPr>
      <w:r>
        <w:rPr>
          <w:rFonts w:ascii="楷体" w:eastAsia="楷体" w:hAnsi="楷体" w:cs="楷体" w:hint="eastAsia"/>
          <w:sz w:val="32"/>
          <w:szCs w:val="32"/>
        </w:rPr>
        <w:t>（二）实施开放式海洋牧场管理机制，提</w:t>
      </w:r>
      <w:proofErr w:type="gramStart"/>
      <w:r>
        <w:rPr>
          <w:rFonts w:ascii="楷体" w:eastAsia="楷体" w:hAnsi="楷体" w:cs="楷体" w:hint="eastAsia"/>
          <w:sz w:val="32"/>
          <w:szCs w:val="32"/>
        </w:rPr>
        <w:t>振市场</w:t>
      </w:r>
      <w:proofErr w:type="gramEnd"/>
      <w:r>
        <w:rPr>
          <w:rFonts w:ascii="楷体" w:eastAsia="楷体" w:hAnsi="楷体" w:cs="楷体" w:hint="eastAsia"/>
          <w:sz w:val="32"/>
          <w:szCs w:val="32"/>
        </w:rPr>
        <w:t>信心</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建议省政府进一步加强组织领导，督促有关部门及时对全省海洋牧场平台进行全面摸底，探索建立一套符合我省实际，具有开创性和可操作性的监管制度，完善规范化的市场环境，恢复海洋牧场产业信心。</w:t>
      </w:r>
    </w:p>
    <w:p w:rsidR="00945E12" w:rsidRDefault="00F2042F">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（三）试行地方性海洋牧场检验标准，降低企业损失</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省政府督促省主管部门，制定符合我省海洋牧场发展现状和未来发展需求的地方性建造、检验标准，指导我省已建成的海洋牧场平台进行改造、完善。在确保安全的基础上，允许已符合我省地方标准的海洋牧场平台开展必要的恢</w:t>
      </w:r>
      <w:r>
        <w:rPr>
          <w:rFonts w:ascii="仿宋_GB2312" w:eastAsia="仿宋_GB2312" w:hAnsi="仿宋_GB2312" w:cs="仿宋_GB2312" w:hint="eastAsia"/>
          <w:sz w:val="32"/>
          <w:szCs w:val="32"/>
        </w:rPr>
        <w:lastRenderedPageBreak/>
        <w:t>复性经营。</w:t>
      </w:r>
    </w:p>
    <w:p w:rsidR="00945E12" w:rsidRDefault="00F2042F">
      <w:pPr>
        <w:ind w:firstLineChars="200" w:firstLine="640"/>
        <w:rPr>
          <w:rFonts w:ascii="楷体" w:eastAsia="楷体" w:hAnsi="楷体" w:cs="楷体"/>
          <w:sz w:val="32"/>
          <w:szCs w:val="32"/>
        </w:rPr>
      </w:pPr>
      <w:r>
        <w:rPr>
          <w:rFonts w:ascii="楷体" w:eastAsia="楷体" w:hAnsi="楷体" w:cs="楷体" w:hint="eastAsia"/>
          <w:sz w:val="32"/>
          <w:szCs w:val="32"/>
        </w:rPr>
        <w:t>（四）推广首创性海洋牧场实践经验，抢占产业龙头</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建议省政府立足我省海洋经济发展方向，建立更为精准、科学的前瞻性政策，采用多种渠道积极推动我省实践成果转化为全国通行规范，避免先发后至、受制于人。实现我省海洋经济的高质量发展。</w:t>
      </w:r>
    </w:p>
    <w:p w:rsidR="00945E12" w:rsidRDefault="00F20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以上建议请研究处理，如有处理结果或者反馈意见，请及时函告我院。</w:t>
      </w:r>
    </w:p>
    <w:p w:rsidR="00945E12" w:rsidRDefault="00945E12">
      <w:pPr>
        <w:ind w:firstLineChars="200" w:firstLine="640"/>
        <w:rPr>
          <w:rFonts w:ascii="仿宋_GB2312" w:eastAsia="仿宋_GB2312" w:hAnsi="仿宋_GB2312" w:cs="仿宋_GB2312"/>
          <w:sz w:val="32"/>
          <w:szCs w:val="32"/>
        </w:rPr>
      </w:pPr>
    </w:p>
    <w:p w:rsidR="00945E12" w:rsidRDefault="00945E12">
      <w:pPr>
        <w:ind w:firstLineChars="200" w:firstLine="640"/>
        <w:rPr>
          <w:rFonts w:ascii="仿宋_GB2312" w:eastAsia="仿宋_GB2312" w:hAnsi="仿宋_GB2312" w:cs="仿宋_GB2312"/>
          <w:sz w:val="32"/>
          <w:szCs w:val="32"/>
        </w:rPr>
      </w:pPr>
    </w:p>
    <w:p w:rsidR="00945E12" w:rsidRDefault="00945E12">
      <w:pPr>
        <w:ind w:firstLineChars="200" w:firstLine="640"/>
        <w:rPr>
          <w:rFonts w:ascii="仿宋_GB2312" w:eastAsia="仿宋_GB2312" w:hAnsi="仿宋_GB2312" w:cs="仿宋_GB2312"/>
          <w:sz w:val="32"/>
          <w:szCs w:val="32"/>
        </w:rPr>
      </w:pPr>
    </w:p>
    <w:p w:rsidR="00945E12" w:rsidRDefault="00945E12">
      <w:pPr>
        <w:ind w:firstLineChars="200" w:firstLine="640"/>
        <w:rPr>
          <w:rFonts w:ascii="仿宋_GB2312" w:eastAsia="仿宋_GB2312" w:hAnsi="仿宋_GB2312" w:cs="仿宋_GB2312"/>
          <w:sz w:val="32"/>
          <w:szCs w:val="32"/>
        </w:rPr>
      </w:pPr>
    </w:p>
    <w:p w:rsidR="00945E12" w:rsidRDefault="00F2042F">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2023年9月4日</w:t>
      </w:r>
    </w:p>
    <w:sectPr w:rsidR="00945E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94" w:rsidRDefault="00301194">
      <w:r>
        <w:separator/>
      </w:r>
    </w:p>
  </w:endnote>
  <w:endnote w:type="continuationSeparator" w:id="0">
    <w:p w:rsidR="00301194" w:rsidRDefault="0030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63897"/>
      <w:docPartObj>
        <w:docPartGallery w:val="AutoText"/>
      </w:docPartObj>
    </w:sdtPr>
    <w:sdtEndPr/>
    <w:sdtContent>
      <w:p w:rsidR="00945E12" w:rsidRDefault="00F2042F">
        <w:pPr>
          <w:pStyle w:val="a3"/>
          <w:jc w:val="center"/>
        </w:pPr>
        <w:r>
          <w:fldChar w:fldCharType="begin"/>
        </w:r>
        <w:r>
          <w:instrText>PAGE   \* MERGEFORMAT</w:instrText>
        </w:r>
        <w:r>
          <w:fldChar w:fldCharType="separate"/>
        </w:r>
        <w:r w:rsidR="009F511A" w:rsidRPr="009F511A">
          <w:rPr>
            <w:noProof/>
            <w:lang w:val="zh-CN"/>
          </w:rPr>
          <w:t>1</w:t>
        </w:r>
        <w:r>
          <w:fldChar w:fldCharType="end"/>
        </w:r>
      </w:p>
    </w:sdtContent>
  </w:sdt>
  <w:p w:rsidR="00945E12" w:rsidRDefault="00945E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94" w:rsidRDefault="00301194">
      <w:r>
        <w:separator/>
      </w:r>
    </w:p>
  </w:footnote>
  <w:footnote w:type="continuationSeparator" w:id="0">
    <w:p w:rsidR="00301194" w:rsidRDefault="0030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MGExYWQ3ZjQ3NmFlMDU5MzZiYmZjOTc0YmYzZGUifQ=="/>
  </w:docVars>
  <w:rsids>
    <w:rsidRoot w:val="008366B9"/>
    <w:rsid w:val="00004634"/>
    <w:rsid w:val="00007354"/>
    <w:rsid w:val="00010C9D"/>
    <w:rsid w:val="000141A1"/>
    <w:rsid w:val="00022531"/>
    <w:rsid w:val="000533B5"/>
    <w:rsid w:val="00061CCA"/>
    <w:rsid w:val="0006669E"/>
    <w:rsid w:val="00071F8C"/>
    <w:rsid w:val="00074312"/>
    <w:rsid w:val="00092A12"/>
    <w:rsid w:val="000A1ED3"/>
    <w:rsid w:val="000A678C"/>
    <w:rsid w:val="000B3367"/>
    <w:rsid w:val="000C2B03"/>
    <w:rsid w:val="000C394C"/>
    <w:rsid w:val="000C65A0"/>
    <w:rsid w:val="000E3BC7"/>
    <w:rsid w:val="000F23A5"/>
    <w:rsid w:val="000F288D"/>
    <w:rsid w:val="0010749F"/>
    <w:rsid w:val="001115BA"/>
    <w:rsid w:val="001142CD"/>
    <w:rsid w:val="00131FAF"/>
    <w:rsid w:val="00135BBC"/>
    <w:rsid w:val="001716D3"/>
    <w:rsid w:val="00174C40"/>
    <w:rsid w:val="0018030B"/>
    <w:rsid w:val="0018363B"/>
    <w:rsid w:val="001842AA"/>
    <w:rsid w:val="001939A7"/>
    <w:rsid w:val="00194F68"/>
    <w:rsid w:val="001A03DD"/>
    <w:rsid w:val="001A1761"/>
    <w:rsid w:val="001A5681"/>
    <w:rsid w:val="001B0CF0"/>
    <w:rsid w:val="001B0F4B"/>
    <w:rsid w:val="001B6BF0"/>
    <w:rsid w:val="001C1763"/>
    <w:rsid w:val="001C2EA6"/>
    <w:rsid w:val="001C50A6"/>
    <w:rsid w:val="001D35F0"/>
    <w:rsid w:val="001E64C5"/>
    <w:rsid w:val="002053F3"/>
    <w:rsid w:val="00211300"/>
    <w:rsid w:val="00213CB1"/>
    <w:rsid w:val="0021643F"/>
    <w:rsid w:val="0022283E"/>
    <w:rsid w:val="002317C3"/>
    <w:rsid w:val="00240E1B"/>
    <w:rsid w:val="00245A25"/>
    <w:rsid w:val="002464F9"/>
    <w:rsid w:val="00246A48"/>
    <w:rsid w:val="00254C55"/>
    <w:rsid w:val="002660E6"/>
    <w:rsid w:val="00281DC9"/>
    <w:rsid w:val="00282879"/>
    <w:rsid w:val="00295AF2"/>
    <w:rsid w:val="002A5237"/>
    <w:rsid w:val="002A6344"/>
    <w:rsid w:val="002B2615"/>
    <w:rsid w:val="002B28EC"/>
    <w:rsid w:val="002B3343"/>
    <w:rsid w:val="002B627D"/>
    <w:rsid w:val="002B7F5C"/>
    <w:rsid w:val="002D194B"/>
    <w:rsid w:val="002D3AC5"/>
    <w:rsid w:val="002E479C"/>
    <w:rsid w:val="002E6F6C"/>
    <w:rsid w:val="002F2D47"/>
    <w:rsid w:val="00301194"/>
    <w:rsid w:val="00304EB8"/>
    <w:rsid w:val="003056BC"/>
    <w:rsid w:val="00305E5B"/>
    <w:rsid w:val="00320675"/>
    <w:rsid w:val="00331B23"/>
    <w:rsid w:val="00343EC4"/>
    <w:rsid w:val="00350916"/>
    <w:rsid w:val="003544E6"/>
    <w:rsid w:val="0036122D"/>
    <w:rsid w:val="00366D3F"/>
    <w:rsid w:val="003A2CDB"/>
    <w:rsid w:val="003A71DC"/>
    <w:rsid w:val="003B64E9"/>
    <w:rsid w:val="003B7E9A"/>
    <w:rsid w:val="003C47EB"/>
    <w:rsid w:val="003C5B41"/>
    <w:rsid w:val="003D1A74"/>
    <w:rsid w:val="003E04EA"/>
    <w:rsid w:val="003E08D3"/>
    <w:rsid w:val="003E0EF9"/>
    <w:rsid w:val="003E3374"/>
    <w:rsid w:val="003E3B0A"/>
    <w:rsid w:val="0041368F"/>
    <w:rsid w:val="004157A0"/>
    <w:rsid w:val="00422622"/>
    <w:rsid w:val="004227E4"/>
    <w:rsid w:val="00445DD5"/>
    <w:rsid w:val="00451255"/>
    <w:rsid w:val="00454D95"/>
    <w:rsid w:val="004568AF"/>
    <w:rsid w:val="00460B00"/>
    <w:rsid w:val="0046132B"/>
    <w:rsid w:val="00463A6D"/>
    <w:rsid w:val="00464B37"/>
    <w:rsid w:val="004764A1"/>
    <w:rsid w:val="00483ABB"/>
    <w:rsid w:val="00491C6E"/>
    <w:rsid w:val="00494520"/>
    <w:rsid w:val="004A3A60"/>
    <w:rsid w:val="004A48A8"/>
    <w:rsid w:val="004A6E4F"/>
    <w:rsid w:val="004B1EC3"/>
    <w:rsid w:val="004C0B94"/>
    <w:rsid w:val="004C0BEB"/>
    <w:rsid w:val="004C2491"/>
    <w:rsid w:val="004D1E9C"/>
    <w:rsid w:val="004D5CF8"/>
    <w:rsid w:val="004E4B4C"/>
    <w:rsid w:val="004E6879"/>
    <w:rsid w:val="004F40FD"/>
    <w:rsid w:val="005026EC"/>
    <w:rsid w:val="005046DF"/>
    <w:rsid w:val="00520A0F"/>
    <w:rsid w:val="00523BDD"/>
    <w:rsid w:val="00526DA6"/>
    <w:rsid w:val="00532E05"/>
    <w:rsid w:val="0055561D"/>
    <w:rsid w:val="00562283"/>
    <w:rsid w:val="0056306A"/>
    <w:rsid w:val="00573B60"/>
    <w:rsid w:val="0057723C"/>
    <w:rsid w:val="00577839"/>
    <w:rsid w:val="00591CC7"/>
    <w:rsid w:val="005A351C"/>
    <w:rsid w:val="005A3898"/>
    <w:rsid w:val="005A7795"/>
    <w:rsid w:val="005B14DA"/>
    <w:rsid w:val="005B4023"/>
    <w:rsid w:val="005C7C7A"/>
    <w:rsid w:val="005D7D1F"/>
    <w:rsid w:val="005E6731"/>
    <w:rsid w:val="005F1796"/>
    <w:rsid w:val="00605769"/>
    <w:rsid w:val="006057C8"/>
    <w:rsid w:val="00610F5D"/>
    <w:rsid w:val="006218C0"/>
    <w:rsid w:val="0062531E"/>
    <w:rsid w:val="006356D8"/>
    <w:rsid w:val="006477B8"/>
    <w:rsid w:val="0065197B"/>
    <w:rsid w:val="00662FD7"/>
    <w:rsid w:val="00666A92"/>
    <w:rsid w:val="00671A77"/>
    <w:rsid w:val="0067422F"/>
    <w:rsid w:val="0067428D"/>
    <w:rsid w:val="00684810"/>
    <w:rsid w:val="0069497D"/>
    <w:rsid w:val="006951AB"/>
    <w:rsid w:val="006977E4"/>
    <w:rsid w:val="006A0D6B"/>
    <w:rsid w:val="006B64FF"/>
    <w:rsid w:val="006C1198"/>
    <w:rsid w:val="006D4363"/>
    <w:rsid w:val="006D4A24"/>
    <w:rsid w:val="006D6637"/>
    <w:rsid w:val="006E00BC"/>
    <w:rsid w:val="006E4AAE"/>
    <w:rsid w:val="006E5785"/>
    <w:rsid w:val="006F18CE"/>
    <w:rsid w:val="00703D5E"/>
    <w:rsid w:val="007047B5"/>
    <w:rsid w:val="00717090"/>
    <w:rsid w:val="00723450"/>
    <w:rsid w:val="007309F4"/>
    <w:rsid w:val="0073122A"/>
    <w:rsid w:val="00742139"/>
    <w:rsid w:val="007434C3"/>
    <w:rsid w:val="00745652"/>
    <w:rsid w:val="007511DD"/>
    <w:rsid w:val="007544BF"/>
    <w:rsid w:val="0076003F"/>
    <w:rsid w:val="007650FF"/>
    <w:rsid w:val="00766A83"/>
    <w:rsid w:val="00771507"/>
    <w:rsid w:val="0077589A"/>
    <w:rsid w:val="00776C48"/>
    <w:rsid w:val="0079037B"/>
    <w:rsid w:val="0079429D"/>
    <w:rsid w:val="007B5882"/>
    <w:rsid w:val="007C6CA9"/>
    <w:rsid w:val="007D04AF"/>
    <w:rsid w:val="007D07A8"/>
    <w:rsid w:val="007D7712"/>
    <w:rsid w:val="007E1E05"/>
    <w:rsid w:val="007F4CC2"/>
    <w:rsid w:val="007F59C2"/>
    <w:rsid w:val="00801FC5"/>
    <w:rsid w:val="00806707"/>
    <w:rsid w:val="008076A6"/>
    <w:rsid w:val="0081296A"/>
    <w:rsid w:val="0081797C"/>
    <w:rsid w:val="00824A58"/>
    <w:rsid w:val="00830363"/>
    <w:rsid w:val="008366B9"/>
    <w:rsid w:val="008448AC"/>
    <w:rsid w:val="00844EBD"/>
    <w:rsid w:val="008520B0"/>
    <w:rsid w:val="0086393F"/>
    <w:rsid w:val="00880DFF"/>
    <w:rsid w:val="00881902"/>
    <w:rsid w:val="008A2642"/>
    <w:rsid w:val="008D4BFA"/>
    <w:rsid w:val="00900C35"/>
    <w:rsid w:val="00903DE0"/>
    <w:rsid w:val="00904773"/>
    <w:rsid w:val="0091253E"/>
    <w:rsid w:val="00927B69"/>
    <w:rsid w:val="00945E12"/>
    <w:rsid w:val="00950F21"/>
    <w:rsid w:val="009525C2"/>
    <w:rsid w:val="00960E35"/>
    <w:rsid w:val="00973E57"/>
    <w:rsid w:val="00974C9F"/>
    <w:rsid w:val="009869C7"/>
    <w:rsid w:val="00996679"/>
    <w:rsid w:val="009A2F42"/>
    <w:rsid w:val="009A5DB4"/>
    <w:rsid w:val="009C6725"/>
    <w:rsid w:val="009C6ED9"/>
    <w:rsid w:val="009E4324"/>
    <w:rsid w:val="009F511A"/>
    <w:rsid w:val="009F6470"/>
    <w:rsid w:val="00A151AB"/>
    <w:rsid w:val="00A15D02"/>
    <w:rsid w:val="00A316FD"/>
    <w:rsid w:val="00A40D64"/>
    <w:rsid w:val="00A43CA2"/>
    <w:rsid w:val="00A45C50"/>
    <w:rsid w:val="00A572FE"/>
    <w:rsid w:val="00A64BB9"/>
    <w:rsid w:val="00A651B9"/>
    <w:rsid w:val="00A67C84"/>
    <w:rsid w:val="00A71C04"/>
    <w:rsid w:val="00A756D1"/>
    <w:rsid w:val="00AA4785"/>
    <w:rsid w:val="00AA6B6A"/>
    <w:rsid w:val="00AB4554"/>
    <w:rsid w:val="00AB7D71"/>
    <w:rsid w:val="00AD2373"/>
    <w:rsid w:val="00AD537D"/>
    <w:rsid w:val="00AE05F0"/>
    <w:rsid w:val="00AE435A"/>
    <w:rsid w:val="00AF189C"/>
    <w:rsid w:val="00B020F4"/>
    <w:rsid w:val="00B1068C"/>
    <w:rsid w:val="00B27893"/>
    <w:rsid w:val="00B30C35"/>
    <w:rsid w:val="00B346EB"/>
    <w:rsid w:val="00B40C5D"/>
    <w:rsid w:val="00B5277B"/>
    <w:rsid w:val="00B57A5C"/>
    <w:rsid w:val="00B633E8"/>
    <w:rsid w:val="00B76C99"/>
    <w:rsid w:val="00B84DA2"/>
    <w:rsid w:val="00B87FC9"/>
    <w:rsid w:val="00BA796C"/>
    <w:rsid w:val="00BC07DD"/>
    <w:rsid w:val="00BC5AA0"/>
    <w:rsid w:val="00BC6779"/>
    <w:rsid w:val="00BD63F6"/>
    <w:rsid w:val="00BE0CFD"/>
    <w:rsid w:val="00BF3B56"/>
    <w:rsid w:val="00C02334"/>
    <w:rsid w:val="00C0760A"/>
    <w:rsid w:val="00C13232"/>
    <w:rsid w:val="00C13FC0"/>
    <w:rsid w:val="00C21CE0"/>
    <w:rsid w:val="00C22C64"/>
    <w:rsid w:val="00C2691B"/>
    <w:rsid w:val="00C313AC"/>
    <w:rsid w:val="00C31C81"/>
    <w:rsid w:val="00C37F16"/>
    <w:rsid w:val="00C45D70"/>
    <w:rsid w:val="00C61D7A"/>
    <w:rsid w:val="00C8571E"/>
    <w:rsid w:val="00C9634E"/>
    <w:rsid w:val="00CA1BA4"/>
    <w:rsid w:val="00CA3267"/>
    <w:rsid w:val="00CA57F8"/>
    <w:rsid w:val="00CD498C"/>
    <w:rsid w:val="00CE54D9"/>
    <w:rsid w:val="00CE7DB0"/>
    <w:rsid w:val="00CF7C0B"/>
    <w:rsid w:val="00D17E4E"/>
    <w:rsid w:val="00D31B7E"/>
    <w:rsid w:val="00D44BFE"/>
    <w:rsid w:val="00D46BF6"/>
    <w:rsid w:val="00D52823"/>
    <w:rsid w:val="00D54C20"/>
    <w:rsid w:val="00D61394"/>
    <w:rsid w:val="00D655BA"/>
    <w:rsid w:val="00D7519E"/>
    <w:rsid w:val="00D8247D"/>
    <w:rsid w:val="00D93269"/>
    <w:rsid w:val="00D96BB8"/>
    <w:rsid w:val="00DA64B4"/>
    <w:rsid w:val="00DC4992"/>
    <w:rsid w:val="00DD3936"/>
    <w:rsid w:val="00DD6CEF"/>
    <w:rsid w:val="00DE1D8D"/>
    <w:rsid w:val="00DE71E4"/>
    <w:rsid w:val="00DF07EA"/>
    <w:rsid w:val="00DF5FA2"/>
    <w:rsid w:val="00DF7184"/>
    <w:rsid w:val="00E1101F"/>
    <w:rsid w:val="00E209B2"/>
    <w:rsid w:val="00E25E35"/>
    <w:rsid w:val="00E2707F"/>
    <w:rsid w:val="00E30D8C"/>
    <w:rsid w:val="00E36FB9"/>
    <w:rsid w:val="00E435B1"/>
    <w:rsid w:val="00E451CB"/>
    <w:rsid w:val="00E4645A"/>
    <w:rsid w:val="00E50689"/>
    <w:rsid w:val="00E50B6C"/>
    <w:rsid w:val="00E72830"/>
    <w:rsid w:val="00E72E27"/>
    <w:rsid w:val="00E90A00"/>
    <w:rsid w:val="00E91ED1"/>
    <w:rsid w:val="00E947B6"/>
    <w:rsid w:val="00EA5979"/>
    <w:rsid w:val="00EB040B"/>
    <w:rsid w:val="00EB3A84"/>
    <w:rsid w:val="00EB6861"/>
    <w:rsid w:val="00EC436D"/>
    <w:rsid w:val="00EC557F"/>
    <w:rsid w:val="00EE1F04"/>
    <w:rsid w:val="00EE5117"/>
    <w:rsid w:val="00EF1CC2"/>
    <w:rsid w:val="00F01A95"/>
    <w:rsid w:val="00F04A8A"/>
    <w:rsid w:val="00F122CD"/>
    <w:rsid w:val="00F17193"/>
    <w:rsid w:val="00F17A73"/>
    <w:rsid w:val="00F2042F"/>
    <w:rsid w:val="00F22526"/>
    <w:rsid w:val="00F22604"/>
    <w:rsid w:val="00F251E9"/>
    <w:rsid w:val="00F263BE"/>
    <w:rsid w:val="00F31604"/>
    <w:rsid w:val="00F37D98"/>
    <w:rsid w:val="00F47BEA"/>
    <w:rsid w:val="00F5385D"/>
    <w:rsid w:val="00F66ABA"/>
    <w:rsid w:val="00F70E88"/>
    <w:rsid w:val="00F83866"/>
    <w:rsid w:val="00F84A09"/>
    <w:rsid w:val="00F914D8"/>
    <w:rsid w:val="00F97F98"/>
    <w:rsid w:val="00FC06BE"/>
    <w:rsid w:val="00FC5914"/>
    <w:rsid w:val="00FD33B9"/>
    <w:rsid w:val="00FD41B2"/>
    <w:rsid w:val="00FD62CB"/>
    <w:rsid w:val="00FE1E40"/>
    <w:rsid w:val="00FE205D"/>
    <w:rsid w:val="00FF0479"/>
    <w:rsid w:val="00FF31B1"/>
    <w:rsid w:val="00FF4359"/>
    <w:rsid w:val="00FF6BC5"/>
    <w:rsid w:val="13E55B74"/>
    <w:rsid w:val="35B75DF4"/>
    <w:rsid w:val="35F55D16"/>
    <w:rsid w:val="3E4405D4"/>
    <w:rsid w:val="465C4FA6"/>
    <w:rsid w:val="4D695962"/>
    <w:rsid w:val="593C38F4"/>
    <w:rsid w:val="7B9F6679"/>
    <w:rsid w:val="7C54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863</Characters>
  <Application>Microsoft Office Word</Application>
  <DocSecurity>0</DocSecurity>
  <Lines>71</Lines>
  <Paragraphs>67</Paragraphs>
  <ScaleCrop>false</ScaleCrop>
  <Company>P R C</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于昊</dc:creator>
  <cp:lastModifiedBy>徐璐</cp:lastModifiedBy>
  <cp:revision>3</cp:revision>
  <cp:lastPrinted>2023-08-03T03:37:00Z</cp:lastPrinted>
  <dcterms:created xsi:type="dcterms:W3CDTF">2023-09-04T01:10:00Z</dcterms:created>
  <dcterms:modified xsi:type="dcterms:W3CDTF">2024-06-28T01:55:00Z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D3E92B97F3D44467AC1E16984A3C5360_13</vt:lpwstr>
  </property>
</Properties>
</file>